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81"/>
        <w:tblW w:w="4965" w:type="pct"/>
        <w:tblLayout w:type="fixed"/>
        <w:tblCellMar>
          <w:left w:w="0" w:type="dxa"/>
          <w:right w:w="0" w:type="dxa"/>
        </w:tblCellMar>
        <w:tblLook w:val="0600" w:firstRow="0" w:lastRow="0" w:firstColumn="0" w:lastColumn="0" w:noHBand="1" w:noVBand="1"/>
        <w:tblDescription w:val="Header layout table"/>
      </w:tblPr>
      <w:tblGrid>
        <w:gridCol w:w="2055"/>
        <w:gridCol w:w="5094"/>
        <w:gridCol w:w="3575"/>
      </w:tblGrid>
      <w:tr w:rsidR="007D6A91" w:rsidRPr="0041428F" w14:paraId="3CDA4BB0" w14:textId="77777777" w:rsidTr="007D6A91">
        <w:trPr>
          <w:trHeight w:val="142"/>
        </w:trPr>
        <w:tc>
          <w:tcPr>
            <w:tcW w:w="10724" w:type="dxa"/>
            <w:gridSpan w:val="3"/>
          </w:tcPr>
          <w:p w14:paraId="6E471717" w14:textId="77777777" w:rsidR="007D6A91" w:rsidRDefault="007D6A91" w:rsidP="007D6A91">
            <w:pPr>
              <w:pStyle w:val="Title"/>
              <w:rPr>
                <w:rFonts w:ascii="Calibri" w:eastAsia="Times New Roman" w:hAnsi="Calibri" w:cs="Calibri"/>
                <w:kern w:val="0"/>
                <w:sz w:val="22"/>
                <w:szCs w:val="22"/>
                <w:lang w:eastAsia="en-US"/>
              </w:rPr>
            </w:pPr>
            <w:r w:rsidRPr="007D6A91">
              <w:rPr>
                <w:rFonts w:ascii="Calibri" w:eastAsia="Times New Roman" w:hAnsi="Calibri" w:cs="Calibri"/>
                <w:kern w:val="0"/>
                <w:sz w:val="22"/>
                <w:szCs w:val="22"/>
                <w:lang w:eastAsia="en-US"/>
              </w:rPr>
              <w:fldChar w:fldCharType="begin"/>
            </w:r>
            <w:r w:rsidRPr="007D6A91">
              <w:rPr>
                <w:rFonts w:ascii="Calibri" w:eastAsia="Times New Roman" w:hAnsi="Calibri" w:cs="Calibri"/>
                <w:kern w:val="0"/>
                <w:sz w:val="22"/>
                <w:szCs w:val="22"/>
                <w:lang w:eastAsia="en-US"/>
              </w:rPr>
              <w:instrText xml:space="preserve"> INCLUDEPICTURE "cid:image001.png@01D99539.453EFA50" \* MERGEFORMATINET </w:instrText>
            </w:r>
            <w:r w:rsidRPr="007D6A91">
              <w:rPr>
                <w:rFonts w:ascii="Calibri" w:eastAsia="Times New Roman" w:hAnsi="Calibri" w:cs="Calibri"/>
                <w:kern w:val="0"/>
                <w:sz w:val="22"/>
                <w:szCs w:val="22"/>
                <w:lang w:eastAsia="en-US"/>
              </w:rPr>
              <w:fldChar w:fldCharType="separate"/>
            </w:r>
            <w:r w:rsidR="00A62761">
              <w:rPr>
                <w:rFonts w:ascii="Calibri" w:eastAsia="Times New Roman" w:hAnsi="Calibri" w:cs="Calibri"/>
                <w:kern w:val="0"/>
                <w:sz w:val="22"/>
                <w:szCs w:val="22"/>
                <w:lang w:eastAsia="en-US"/>
              </w:rPr>
              <w:fldChar w:fldCharType="begin"/>
            </w:r>
            <w:r w:rsidR="00A62761">
              <w:rPr>
                <w:rFonts w:ascii="Calibri" w:eastAsia="Times New Roman" w:hAnsi="Calibri" w:cs="Calibri"/>
                <w:kern w:val="0"/>
                <w:sz w:val="22"/>
                <w:szCs w:val="22"/>
                <w:lang w:eastAsia="en-US"/>
              </w:rPr>
              <w:instrText xml:space="preserve"> INCLUDEPICTURE  "cid:image001.png@01D99539.453EFA50" \* MERGEFORMATINET </w:instrText>
            </w:r>
            <w:r w:rsidR="00A62761">
              <w:rPr>
                <w:rFonts w:ascii="Calibri" w:eastAsia="Times New Roman" w:hAnsi="Calibri" w:cs="Calibri"/>
                <w:kern w:val="0"/>
                <w:sz w:val="22"/>
                <w:szCs w:val="22"/>
                <w:lang w:eastAsia="en-US"/>
              </w:rPr>
              <w:fldChar w:fldCharType="separate"/>
            </w:r>
            <w:r>
              <w:rPr>
                <w:rFonts w:ascii="Calibri" w:eastAsia="Times New Roman" w:hAnsi="Calibri" w:cs="Calibri"/>
                <w:kern w:val="0"/>
                <w:sz w:val="22"/>
                <w:szCs w:val="22"/>
                <w:lang w:eastAsia="en-US"/>
              </w:rPr>
              <w:fldChar w:fldCharType="begin"/>
            </w:r>
            <w:r>
              <w:rPr>
                <w:rFonts w:ascii="Calibri" w:eastAsia="Times New Roman" w:hAnsi="Calibri" w:cs="Calibri"/>
                <w:kern w:val="0"/>
                <w:sz w:val="22"/>
                <w:szCs w:val="22"/>
                <w:lang w:eastAsia="en-US"/>
              </w:rPr>
              <w:instrText xml:space="preserve"> INCLUDEPICTURE  "cid:image001.png@01D99539.453EFA50" \* MERGEFORMATINET </w:instrText>
            </w:r>
            <w:r>
              <w:rPr>
                <w:rFonts w:ascii="Calibri" w:eastAsia="Times New Roman" w:hAnsi="Calibri" w:cs="Calibri"/>
                <w:kern w:val="0"/>
                <w:sz w:val="22"/>
                <w:szCs w:val="22"/>
                <w:lang w:eastAsia="en-US"/>
              </w:rPr>
              <w:fldChar w:fldCharType="separate"/>
            </w:r>
            <w:r>
              <w:rPr>
                <w:rFonts w:ascii="Calibri" w:eastAsia="Times New Roman" w:hAnsi="Calibri" w:cs="Calibri"/>
                <w:kern w:val="0"/>
                <w:sz w:val="22"/>
                <w:szCs w:val="22"/>
                <w:lang w:eastAsia="en-US"/>
              </w:rPr>
              <w:fldChar w:fldCharType="begin"/>
            </w:r>
            <w:r>
              <w:rPr>
                <w:rFonts w:ascii="Calibri" w:eastAsia="Times New Roman" w:hAnsi="Calibri" w:cs="Calibri"/>
                <w:kern w:val="0"/>
                <w:sz w:val="22"/>
                <w:szCs w:val="22"/>
                <w:lang w:eastAsia="en-US"/>
              </w:rPr>
              <w:instrText xml:space="preserve"> INCLUDEPICTURE  "cid:image001.png@01D99539.453EFA50" \* MERGEFORMATINET </w:instrText>
            </w:r>
            <w:r>
              <w:rPr>
                <w:rFonts w:ascii="Calibri" w:eastAsia="Times New Roman" w:hAnsi="Calibri" w:cs="Calibri"/>
                <w:kern w:val="0"/>
                <w:sz w:val="22"/>
                <w:szCs w:val="22"/>
                <w:lang w:eastAsia="en-US"/>
              </w:rPr>
              <w:fldChar w:fldCharType="separate"/>
            </w:r>
            <w:r w:rsidR="00E6519B">
              <w:rPr>
                <w:rFonts w:ascii="Calibri" w:eastAsia="Times New Roman" w:hAnsi="Calibri" w:cs="Calibri"/>
                <w:kern w:val="0"/>
                <w:sz w:val="22"/>
                <w:szCs w:val="22"/>
                <w:lang w:eastAsia="en-US"/>
              </w:rPr>
              <w:fldChar w:fldCharType="begin"/>
            </w:r>
            <w:r w:rsidR="00E6519B">
              <w:rPr>
                <w:rFonts w:ascii="Calibri" w:eastAsia="Times New Roman" w:hAnsi="Calibri" w:cs="Calibri"/>
                <w:kern w:val="0"/>
                <w:sz w:val="22"/>
                <w:szCs w:val="22"/>
                <w:lang w:eastAsia="en-US"/>
              </w:rPr>
              <w:instrText xml:space="preserve"> INCLUDEPICTURE  "cid:image001.png@01D99539.453EFA50" \* MERGEFORMATINET </w:instrText>
            </w:r>
            <w:r w:rsidR="00E6519B">
              <w:rPr>
                <w:rFonts w:ascii="Calibri" w:eastAsia="Times New Roman" w:hAnsi="Calibri" w:cs="Calibri"/>
                <w:kern w:val="0"/>
                <w:sz w:val="22"/>
                <w:szCs w:val="22"/>
                <w:lang w:eastAsia="en-US"/>
              </w:rPr>
              <w:fldChar w:fldCharType="separate"/>
            </w:r>
            <w:r w:rsidR="00E24D24">
              <w:rPr>
                <w:rFonts w:ascii="Calibri" w:eastAsia="Times New Roman" w:hAnsi="Calibri" w:cs="Calibri"/>
                <w:kern w:val="0"/>
                <w:sz w:val="22"/>
                <w:szCs w:val="22"/>
                <w:lang w:eastAsia="en-US"/>
              </w:rPr>
              <w:fldChar w:fldCharType="begin"/>
            </w:r>
            <w:r w:rsidR="00E24D24">
              <w:rPr>
                <w:rFonts w:ascii="Calibri" w:eastAsia="Times New Roman" w:hAnsi="Calibri" w:cs="Calibri"/>
                <w:kern w:val="0"/>
                <w:sz w:val="22"/>
                <w:szCs w:val="22"/>
                <w:lang w:eastAsia="en-US"/>
              </w:rPr>
              <w:instrText xml:space="preserve"> INCLUDEPICTURE  "cid:image001.png@01D99539.453EFA50" \* MERGEFORMATINET </w:instrText>
            </w:r>
            <w:r w:rsidR="00E24D24">
              <w:rPr>
                <w:rFonts w:ascii="Calibri" w:eastAsia="Times New Roman" w:hAnsi="Calibri" w:cs="Calibri"/>
                <w:kern w:val="0"/>
                <w:sz w:val="22"/>
                <w:szCs w:val="22"/>
                <w:lang w:eastAsia="en-US"/>
              </w:rPr>
              <w:fldChar w:fldCharType="separate"/>
            </w:r>
            <w:r w:rsidR="007677B7">
              <w:rPr>
                <w:rFonts w:ascii="Calibri" w:eastAsia="Times New Roman" w:hAnsi="Calibri" w:cs="Calibri"/>
                <w:kern w:val="0"/>
                <w:sz w:val="22"/>
                <w:szCs w:val="22"/>
                <w:lang w:eastAsia="en-US"/>
              </w:rPr>
              <w:fldChar w:fldCharType="begin"/>
            </w:r>
            <w:r w:rsidR="007677B7">
              <w:rPr>
                <w:rFonts w:ascii="Calibri" w:eastAsia="Times New Roman" w:hAnsi="Calibri" w:cs="Calibri"/>
                <w:kern w:val="0"/>
                <w:sz w:val="22"/>
                <w:szCs w:val="22"/>
                <w:lang w:eastAsia="en-US"/>
              </w:rPr>
              <w:instrText xml:space="preserve"> </w:instrText>
            </w:r>
            <w:r w:rsidR="007677B7">
              <w:rPr>
                <w:rFonts w:ascii="Calibri" w:eastAsia="Times New Roman" w:hAnsi="Calibri" w:cs="Calibri"/>
                <w:kern w:val="0"/>
                <w:sz w:val="22"/>
                <w:szCs w:val="22"/>
                <w:lang w:eastAsia="en-US"/>
              </w:rPr>
              <w:instrText>INCLUDEPICTURE  "cid:image001.png@01D99539.453EFA50" \* MERGEFORMATINET</w:instrText>
            </w:r>
            <w:r w:rsidR="007677B7">
              <w:rPr>
                <w:rFonts w:ascii="Calibri" w:eastAsia="Times New Roman" w:hAnsi="Calibri" w:cs="Calibri"/>
                <w:kern w:val="0"/>
                <w:sz w:val="22"/>
                <w:szCs w:val="22"/>
                <w:lang w:eastAsia="en-US"/>
              </w:rPr>
              <w:instrText xml:space="preserve"> </w:instrText>
            </w:r>
            <w:r w:rsidR="007677B7">
              <w:rPr>
                <w:rFonts w:ascii="Calibri" w:eastAsia="Times New Roman" w:hAnsi="Calibri" w:cs="Calibri"/>
                <w:kern w:val="0"/>
                <w:sz w:val="22"/>
                <w:szCs w:val="22"/>
                <w:lang w:eastAsia="en-US"/>
              </w:rPr>
              <w:fldChar w:fldCharType="separate"/>
            </w:r>
            <w:r w:rsidR="007677B7">
              <w:rPr>
                <w:rFonts w:ascii="Calibri" w:eastAsia="Times New Roman" w:hAnsi="Calibri" w:cs="Calibri"/>
                <w:kern w:val="0"/>
                <w:sz w:val="22"/>
                <w:szCs w:val="22"/>
                <w:lang w:eastAsia="en-US"/>
              </w:rPr>
              <w:pict w14:anchorId="25E4D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6.75pt">
                  <v:imagedata r:id="rId11" r:href="rId12"/>
                </v:shape>
              </w:pict>
            </w:r>
            <w:r w:rsidR="007677B7">
              <w:rPr>
                <w:rFonts w:ascii="Calibri" w:eastAsia="Times New Roman" w:hAnsi="Calibri" w:cs="Calibri"/>
                <w:kern w:val="0"/>
                <w:sz w:val="22"/>
                <w:szCs w:val="22"/>
                <w:lang w:eastAsia="en-US"/>
              </w:rPr>
              <w:fldChar w:fldCharType="end"/>
            </w:r>
            <w:r w:rsidR="00E24D24">
              <w:rPr>
                <w:rFonts w:ascii="Calibri" w:eastAsia="Times New Roman" w:hAnsi="Calibri" w:cs="Calibri"/>
                <w:kern w:val="0"/>
                <w:sz w:val="22"/>
                <w:szCs w:val="22"/>
                <w:lang w:eastAsia="en-US"/>
              </w:rPr>
              <w:fldChar w:fldCharType="end"/>
            </w:r>
            <w:r w:rsidR="00E6519B">
              <w:rPr>
                <w:rFonts w:ascii="Calibri" w:eastAsia="Times New Roman" w:hAnsi="Calibri" w:cs="Calibri"/>
                <w:kern w:val="0"/>
                <w:sz w:val="22"/>
                <w:szCs w:val="22"/>
                <w:lang w:eastAsia="en-US"/>
              </w:rPr>
              <w:fldChar w:fldCharType="end"/>
            </w:r>
            <w:r>
              <w:rPr>
                <w:rFonts w:ascii="Calibri" w:eastAsia="Times New Roman" w:hAnsi="Calibri" w:cs="Calibri"/>
                <w:kern w:val="0"/>
                <w:sz w:val="22"/>
                <w:szCs w:val="22"/>
                <w:lang w:eastAsia="en-US"/>
              </w:rPr>
              <w:fldChar w:fldCharType="end"/>
            </w:r>
            <w:r>
              <w:rPr>
                <w:rFonts w:ascii="Calibri" w:eastAsia="Times New Roman" w:hAnsi="Calibri" w:cs="Calibri"/>
                <w:kern w:val="0"/>
                <w:sz w:val="22"/>
                <w:szCs w:val="22"/>
                <w:lang w:eastAsia="en-US"/>
              </w:rPr>
              <w:fldChar w:fldCharType="end"/>
            </w:r>
            <w:r w:rsidR="00A62761">
              <w:rPr>
                <w:rFonts w:ascii="Calibri" w:eastAsia="Times New Roman" w:hAnsi="Calibri" w:cs="Calibri"/>
                <w:kern w:val="0"/>
                <w:sz w:val="22"/>
                <w:szCs w:val="22"/>
                <w:lang w:eastAsia="en-US"/>
              </w:rPr>
              <w:fldChar w:fldCharType="end"/>
            </w:r>
            <w:r w:rsidRPr="007D6A91">
              <w:rPr>
                <w:rFonts w:ascii="Calibri" w:eastAsia="Times New Roman" w:hAnsi="Calibri" w:cs="Calibri"/>
                <w:kern w:val="0"/>
                <w:sz w:val="22"/>
                <w:szCs w:val="22"/>
                <w:lang w:eastAsia="en-US"/>
              </w:rPr>
              <w:fldChar w:fldCharType="end"/>
            </w:r>
          </w:p>
          <w:p w14:paraId="16E2F19A" w14:textId="77777777" w:rsidR="007D6A91" w:rsidRDefault="007D6A91" w:rsidP="007D6A91">
            <w:pPr>
              <w:pStyle w:val="Title"/>
              <w:rPr>
                <w:rFonts w:ascii="Calibri" w:eastAsia="Times New Roman" w:hAnsi="Calibri" w:cs="Calibri"/>
                <w:kern w:val="0"/>
                <w:sz w:val="22"/>
                <w:szCs w:val="22"/>
                <w:lang w:eastAsia="en-US"/>
              </w:rPr>
            </w:pPr>
          </w:p>
          <w:p w14:paraId="53B0B345" w14:textId="78257F75" w:rsidR="007D6A91" w:rsidRPr="007D6A91" w:rsidRDefault="007D6A91" w:rsidP="007D6A91">
            <w:pPr>
              <w:pStyle w:val="Title"/>
              <w:rPr>
                <w:sz w:val="36"/>
                <w:szCs w:val="40"/>
              </w:rPr>
            </w:pPr>
            <w:r w:rsidRPr="007D6A91">
              <w:rPr>
                <w:sz w:val="44"/>
                <w:szCs w:val="48"/>
              </w:rPr>
              <w:t>Grander INVESTMENT mANAGEMENT</w:t>
            </w:r>
            <w:r w:rsidR="0060532C">
              <w:rPr>
                <w:sz w:val="44"/>
                <w:szCs w:val="48"/>
              </w:rPr>
              <w:t>, LLC</w:t>
            </w:r>
          </w:p>
        </w:tc>
      </w:tr>
      <w:tr w:rsidR="007D6A91" w:rsidRPr="0041428F" w14:paraId="2F25ED2B" w14:textId="77777777" w:rsidTr="007D6A91">
        <w:trPr>
          <w:trHeight w:val="331"/>
        </w:trPr>
        <w:tc>
          <w:tcPr>
            <w:tcW w:w="10724" w:type="dxa"/>
            <w:gridSpan w:val="3"/>
            <w:vAlign w:val="bottom"/>
          </w:tcPr>
          <w:p w14:paraId="1D966ED0" w14:textId="1EE40449" w:rsidR="007D6A91" w:rsidRPr="007D6A91" w:rsidRDefault="007D6A91" w:rsidP="007D6A91">
            <w:pPr>
              <w:pStyle w:val="ContactInfo"/>
              <w:rPr>
                <w:rFonts w:ascii="Arial" w:hAnsi="Arial" w:cs="Arial"/>
              </w:rPr>
            </w:pPr>
            <w:r>
              <w:rPr>
                <w:rFonts w:ascii="Arial" w:hAnsi="Arial" w:cs="Arial"/>
                <w:sz w:val="32"/>
                <w:szCs w:val="24"/>
              </w:rPr>
              <w:t xml:space="preserve">        </w:t>
            </w:r>
            <w:r w:rsidRPr="007D6A91">
              <w:rPr>
                <w:rFonts w:ascii="Arial" w:hAnsi="Arial" w:cs="Arial"/>
                <w:sz w:val="32"/>
                <w:szCs w:val="24"/>
              </w:rPr>
              <w:t>2</w:t>
            </w:r>
            <w:r w:rsidRPr="007D6A91">
              <w:rPr>
                <w:rFonts w:ascii="Arial" w:hAnsi="Arial" w:cs="Arial"/>
                <w:sz w:val="32"/>
                <w:szCs w:val="24"/>
                <w:vertAlign w:val="superscript"/>
              </w:rPr>
              <w:t xml:space="preserve">nd </w:t>
            </w:r>
            <w:r w:rsidRPr="007D6A91">
              <w:rPr>
                <w:rFonts w:ascii="Arial" w:hAnsi="Arial" w:cs="Arial"/>
                <w:sz w:val="32"/>
                <w:szCs w:val="24"/>
              </w:rPr>
              <w:t>Quarter Summary and Outlook</w:t>
            </w:r>
          </w:p>
        </w:tc>
      </w:tr>
      <w:tr w:rsidR="007D6A91" w:rsidRPr="0041428F" w14:paraId="437D26AE" w14:textId="77777777" w:rsidTr="007D6A91">
        <w:trPr>
          <w:trHeight w:val="259"/>
        </w:trPr>
        <w:tc>
          <w:tcPr>
            <w:tcW w:w="2055" w:type="dxa"/>
          </w:tcPr>
          <w:p w14:paraId="5D0848A9" w14:textId="77B4BCA0" w:rsidR="007D6A91" w:rsidRDefault="007D6A91" w:rsidP="007D6A91">
            <w:pPr>
              <w:pStyle w:val="MeetingInfo"/>
            </w:pPr>
          </w:p>
        </w:tc>
        <w:tc>
          <w:tcPr>
            <w:tcW w:w="5094" w:type="dxa"/>
          </w:tcPr>
          <w:p w14:paraId="21D86485" w14:textId="5BA672E6" w:rsidR="007D6A91" w:rsidRDefault="007D6A91" w:rsidP="007D6A91">
            <w:pPr>
              <w:pStyle w:val="ContactInfo"/>
            </w:pPr>
          </w:p>
        </w:tc>
        <w:tc>
          <w:tcPr>
            <w:tcW w:w="3575" w:type="dxa"/>
            <w:vAlign w:val="bottom"/>
          </w:tcPr>
          <w:p w14:paraId="05951617" w14:textId="77777777" w:rsidR="007D6A91" w:rsidRDefault="007D6A91" w:rsidP="007D6A91">
            <w:pPr>
              <w:pStyle w:val="ContactInfo"/>
            </w:pPr>
          </w:p>
        </w:tc>
      </w:tr>
      <w:tr w:rsidR="007D6A91" w:rsidRPr="0041428F" w14:paraId="6BE93AC3" w14:textId="77777777" w:rsidTr="007D6A91">
        <w:trPr>
          <w:trHeight w:val="259"/>
        </w:trPr>
        <w:tc>
          <w:tcPr>
            <w:tcW w:w="2055" w:type="dxa"/>
          </w:tcPr>
          <w:p w14:paraId="3341AF23" w14:textId="6BB54520" w:rsidR="007D6A91" w:rsidRDefault="007D6A91" w:rsidP="007D6A91">
            <w:pPr>
              <w:pStyle w:val="MeetingInfo"/>
            </w:pPr>
          </w:p>
        </w:tc>
        <w:tc>
          <w:tcPr>
            <w:tcW w:w="5094" w:type="dxa"/>
          </w:tcPr>
          <w:p w14:paraId="79E8A7F4" w14:textId="3F0CAA3C" w:rsidR="007D6A91" w:rsidRDefault="007D6A91" w:rsidP="007D6A91">
            <w:pPr>
              <w:pStyle w:val="ContactInfo"/>
            </w:pPr>
          </w:p>
        </w:tc>
        <w:tc>
          <w:tcPr>
            <w:tcW w:w="3575" w:type="dxa"/>
            <w:vAlign w:val="bottom"/>
          </w:tcPr>
          <w:p w14:paraId="6D803E77" w14:textId="77777777" w:rsidR="007D6A91" w:rsidRDefault="007D6A91" w:rsidP="007D6A91">
            <w:pPr>
              <w:pStyle w:val="ContactInfo"/>
            </w:pPr>
          </w:p>
        </w:tc>
      </w:tr>
      <w:tr w:rsidR="007D6A91" w:rsidRPr="0041428F" w14:paraId="52A86A7A" w14:textId="77777777" w:rsidTr="007D6A91">
        <w:trPr>
          <w:trHeight w:val="259"/>
        </w:trPr>
        <w:tc>
          <w:tcPr>
            <w:tcW w:w="2055" w:type="dxa"/>
          </w:tcPr>
          <w:p w14:paraId="6D803B74" w14:textId="2429D855" w:rsidR="007D6A91" w:rsidRDefault="007D6A91" w:rsidP="007D6A91">
            <w:pPr>
              <w:pStyle w:val="MeetingInfo"/>
            </w:pPr>
          </w:p>
        </w:tc>
        <w:tc>
          <w:tcPr>
            <w:tcW w:w="5094" w:type="dxa"/>
          </w:tcPr>
          <w:p w14:paraId="6B75D1A4" w14:textId="4B35B944" w:rsidR="007D6A91" w:rsidRDefault="007D6A91" w:rsidP="007D6A91">
            <w:pPr>
              <w:pStyle w:val="ContactInfo"/>
            </w:pPr>
          </w:p>
        </w:tc>
        <w:tc>
          <w:tcPr>
            <w:tcW w:w="3575" w:type="dxa"/>
            <w:vAlign w:val="bottom"/>
          </w:tcPr>
          <w:p w14:paraId="21F86E33" w14:textId="77777777" w:rsidR="007D6A91" w:rsidRDefault="007D6A91" w:rsidP="007D6A91">
            <w:pPr>
              <w:pStyle w:val="ContactInfo"/>
            </w:pPr>
          </w:p>
        </w:tc>
      </w:tr>
      <w:tr w:rsidR="007D6A91" w:rsidRPr="0041428F" w14:paraId="027E14BD" w14:textId="77777777" w:rsidTr="007D6A91">
        <w:trPr>
          <w:trHeight w:val="259"/>
        </w:trPr>
        <w:tc>
          <w:tcPr>
            <w:tcW w:w="2055" w:type="dxa"/>
          </w:tcPr>
          <w:p w14:paraId="22099CE5" w14:textId="745D0A85" w:rsidR="007D6A91" w:rsidRDefault="007D6A91" w:rsidP="007D6A91">
            <w:pPr>
              <w:pStyle w:val="MeetingInfo"/>
            </w:pPr>
          </w:p>
        </w:tc>
        <w:tc>
          <w:tcPr>
            <w:tcW w:w="5094" w:type="dxa"/>
          </w:tcPr>
          <w:p w14:paraId="65D4B71C" w14:textId="6CE71244" w:rsidR="007D6A91" w:rsidRDefault="007D6A91" w:rsidP="007D6A91">
            <w:pPr>
              <w:pStyle w:val="ContactInfo"/>
            </w:pPr>
          </w:p>
        </w:tc>
        <w:tc>
          <w:tcPr>
            <w:tcW w:w="3575" w:type="dxa"/>
            <w:vAlign w:val="bottom"/>
          </w:tcPr>
          <w:p w14:paraId="2C8196AC" w14:textId="77777777" w:rsidR="007D6A91" w:rsidRDefault="007D6A91" w:rsidP="007D6A91">
            <w:pPr>
              <w:pStyle w:val="ContactInfo"/>
            </w:pPr>
          </w:p>
        </w:tc>
      </w:tr>
    </w:tbl>
    <w:p w14:paraId="22008BC4" w14:textId="57FE1C7D" w:rsidR="005D7940" w:rsidRDefault="005D7940" w:rsidP="005D7940">
      <w:pPr>
        <w:spacing w:before="120" w:after="0"/>
      </w:pPr>
      <w:r w:rsidRPr="0041428F">
        <w:rPr>
          <w:noProof/>
        </w:rPr>
        <mc:AlternateContent>
          <mc:Choice Requires="wpg">
            <w:drawing>
              <wp:anchor distT="0" distB="0" distL="114300" distR="114300" simplePos="0" relativeHeight="251659264" behindDoc="1" locked="1" layoutInCell="1" allowOverlap="1" wp14:anchorId="6023BD96" wp14:editId="0056CBEB">
                <wp:simplePos x="0" y="0"/>
                <wp:positionH relativeFrom="page">
                  <wp:align>left</wp:align>
                </wp:positionH>
                <wp:positionV relativeFrom="paragraph">
                  <wp:posOffset>-438150</wp:posOffset>
                </wp:positionV>
                <wp:extent cx="8247380" cy="3026410"/>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02641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104155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838F00" id="Graphic 17" o:spid="_x0000_s1026" alt="&quot;&quot;" style="position:absolute;margin-left:0;margin-top:-34.5pt;width:649.4pt;height:238.3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10415;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8223;7144,706613;3546634,661662;5998369,1028946;5998369,8223;7144,8223"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p w14:paraId="040639F3" w14:textId="77777777" w:rsidR="00A66B18" w:rsidRDefault="00A66B18"/>
    <w:p w14:paraId="700712F4" w14:textId="47E1AFC4" w:rsidR="0065275C" w:rsidRPr="00E24D24" w:rsidRDefault="0065275C" w:rsidP="0065275C">
      <w:pPr>
        <w:pStyle w:val="NormalWeb"/>
        <w:shd w:val="clear" w:color="auto" w:fill="FFFFFF"/>
        <w:spacing w:before="240" w:beforeAutospacing="0" w:after="240" w:afterAutospacing="0"/>
        <w:rPr>
          <w:rFonts w:ascii="Arial" w:hAnsi="Arial" w:cs="Arial"/>
          <w:color w:val="484B4E"/>
        </w:rPr>
      </w:pPr>
      <w:r w:rsidRPr="00E24D24">
        <w:rPr>
          <w:rFonts w:ascii="Arial" w:hAnsi="Arial" w:cs="Arial"/>
          <w:color w:val="484B4E"/>
        </w:rPr>
        <w:t xml:space="preserve">This summary </w:t>
      </w:r>
      <w:r w:rsidR="00DB7141" w:rsidRPr="00E24D24">
        <w:rPr>
          <w:rFonts w:ascii="Arial" w:hAnsi="Arial" w:cs="Arial"/>
          <w:color w:val="484B4E"/>
        </w:rPr>
        <w:t xml:space="preserve">was prepared to </w:t>
      </w:r>
      <w:r w:rsidRPr="00E24D24">
        <w:rPr>
          <w:rFonts w:ascii="Arial" w:hAnsi="Arial" w:cs="Arial"/>
          <w:color w:val="484B4E"/>
        </w:rPr>
        <w:t xml:space="preserve">provide our insight into </w:t>
      </w:r>
      <w:r w:rsidR="00DB7141" w:rsidRPr="00E24D24">
        <w:rPr>
          <w:rFonts w:ascii="Arial" w:hAnsi="Arial" w:cs="Arial"/>
          <w:color w:val="484B4E"/>
        </w:rPr>
        <w:t xml:space="preserve">our management of </w:t>
      </w:r>
      <w:r w:rsidRPr="00E24D24">
        <w:rPr>
          <w:rFonts w:ascii="Arial" w:hAnsi="Arial" w:cs="Arial"/>
          <w:color w:val="484B4E"/>
        </w:rPr>
        <w:t>mortgage servicing rights (MSR)</w:t>
      </w:r>
      <w:r w:rsidR="00DB7141" w:rsidRPr="00E24D24">
        <w:rPr>
          <w:rFonts w:ascii="Arial" w:hAnsi="Arial" w:cs="Arial"/>
          <w:color w:val="484B4E"/>
        </w:rPr>
        <w:t xml:space="preserve"> trends, performance, and market outlook.</w:t>
      </w:r>
    </w:p>
    <w:p w14:paraId="16783FAA" w14:textId="77777777" w:rsidR="0060532C" w:rsidRDefault="0060532C" w:rsidP="0060532C">
      <w:pPr>
        <w:pStyle w:val="Default"/>
      </w:pPr>
    </w:p>
    <w:p w14:paraId="1E2F091E" w14:textId="1D9E9E8C" w:rsidR="0060532C" w:rsidRPr="00E6519B" w:rsidRDefault="0060532C" w:rsidP="0060532C">
      <w:pPr>
        <w:pStyle w:val="Default"/>
        <w:rPr>
          <w:rFonts w:ascii="Arial" w:hAnsi="Arial" w:cs="Arial"/>
          <w:b/>
          <w:bCs/>
          <w:sz w:val="22"/>
          <w:szCs w:val="22"/>
        </w:rPr>
      </w:pPr>
      <w:r>
        <w:t xml:space="preserve"> </w:t>
      </w:r>
      <w:r w:rsidRPr="008F5D03">
        <w:rPr>
          <w:color w:val="auto"/>
        </w:rPr>
        <w:tab/>
      </w:r>
      <w:r w:rsidRPr="00E6519B">
        <w:rPr>
          <w:rFonts w:ascii="Arial" w:hAnsi="Arial" w:cs="Arial"/>
          <w:b/>
          <w:bCs/>
          <w:color w:val="auto"/>
        </w:rPr>
        <w:t xml:space="preserve">2022 Mortgage Market Conditions </w:t>
      </w:r>
    </w:p>
    <w:p w14:paraId="530AB456" w14:textId="32887178" w:rsidR="008F5D03" w:rsidRPr="008F5D03" w:rsidRDefault="0060532C" w:rsidP="008F5D03">
      <w:pPr>
        <w:pStyle w:val="NormalWeb"/>
        <w:shd w:val="clear" w:color="auto" w:fill="FFFFFF"/>
        <w:spacing w:before="240" w:beforeAutospacing="0" w:after="240" w:afterAutospacing="0"/>
        <w:rPr>
          <w:rFonts w:ascii="Arial" w:hAnsi="Arial" w:cs="Arial"/>
          <w:sz w:val="22"/>
          <w:szCs w:val="22"/>
        </w:rPr>
      </w:pPr>
      <w:r w:rsidRPr="008F5D03">
        <w:rPr>
          <w:rFonts w:ascii="Arial" w:hAnsi="Arial" w:cs="Arial"/>
          <w:sz w:val="22"/>
          <w:szCs w:val="22"/>
        </w:rPr>
        <w:t xml:space="preserve">US interest rate markets were extraordinarily volatile in 2022, even by recent pandemic standards, with the 10-year treasury trading in a </w:t>
      </w:r>
      <w:r w:rsidR="00B237EB" w:rsidRPr="008F5D03">
        <w:rPr>
          <w:rFonts w:ascii="Arial" w:hAnsi="Arial" w:cs="Arial"/>
          <w:sz w:val="22"/>
          <w:szCs w:val="22"/>
        </w:rPr>
        <w:t>250-bps</w:t>
      </w:r>
      <w:r w:rsidRPr="008F5D03">
        <w:rPr>
          <w:rFonts w:ascii="Arial" w:hAnsi="Arial" w:cs="Arial"/>
          <w:sz w:val="22"/>
          <w:szCs w:val="22"/>
        </w:rPr>
        <w:t xml:space="preserve"> range – the range itself being wider than the absolute level of the 10y to start the year. Rates peaked in early November at almost 4.25% before rallying to end the year around 3.75%. Both the absolute increase in rates of 225 bps YoY and the volatility resulted in a massive increase in the current 30y fixed rate mortgage coupon. Starting the year around 3.25% - deliverable into 2.5 par coupon MBS securitizations – rates peaked in early fall, actually before the peak 10y Treasury rate, at over 7.5% for the average conforming offer rate – rates not seen since 2009. Importantly, the last time rates were that high, substantial portions of the conforming eligible housing market still had some refi incentive; FHLMC now estimates that less than 2% of homeowners, representing less than 1% of total US mortgage balances, have a refinancing incentive at current levels. Moreover, rates are not coming down, with conforming rates still caught in a range around 6.5% to 7.0%. The curve inversion and rapid increase in Fed Funds rates has also eliminated a </w:t>
      </w:r>
      <w:proofErr w:type="gramStart"/>
      <w:r w:rsidRPr="008F5D03">
        <w:rPr>
          <w:rFonts w:ascii="Arial" w:hAnsi="Arial" w:cs="Arial"/>
          <w:sz w:val="22"/>
          <w:szCs w:val="22"/>
        </w:rPr>
        <w:t>tradition</w:t>
      </w:r>
      <w:proofErr w:type="gramEnd"/>
      <w:r w:rsidRPr="008F5D03">
        <w:rPr>
          <w:rFonts w:ascii="Arial" w:hAnsi="Arial" w:cs="Arial"/>
          <w:sz w:val="22"/>
          <w:szCs w:val="22"/>
        </w:rPr>
        <w:t xml:space="preserve"> rate management vehicle seen in past rate cycles, the flip into 3/1 and 1/1 ARM product. With the 3m-10y spread at -100 bps as of early January, ARM products are even more expensive than 30y conforming </w:t>
      </w:r>
      <w:proofErr w:type="gramStart"/>
      <w:r w:rsidRPr="008F5D03">
        <w:rPr>
          <w:rFonts w:ascii="Arial" w:hAnsi="Arial" w:cs="Arial"/>
          <w:sz w:val="22"/>
          <w:szCs w:val="22"/>
        </w:rPr>
        <w:t>product</w:t>
      </w:r>
      <w:proofErr w:type="gramEnd"/>
      <w:r w:rsidRPr="008F5D03">
        <w:rPr>
          <w:rFonts w:ascii="Arial" w:hAnsi="Arial" w:cs="Arial"/>
          <w:sz w:val="22"/>
          <w:szCs w:val="22"/>
        </w:rPr>
        <w:t xml:space="preserve">. </w:t>
      </w:r>
      <w:r w:rsidRPr="008F5D03">
        <w:rPr>
          <w:rFonts w:ascii="Arial" w:hAnsi="Arial" w:cs="Arial"/>
          <w:i/>
          <w:iCs/>
          <w:sz w:val="22"/>
          <w:szCs w:val="22"/>
        </w:rPr>
        <w:t>The result</w:t>
      </w:r>
      <w:r w:rsidRPr="008F5D03">
        <w:rPr>
          <w:rFonts w:ascii="Arial" w:hAnsi="Arial" w:cs="Arial"/>
          <w:sz w:val="22"/>
          <w:szCs w:val="22"/>
        </w:rPr>
        <w:t>: a massive extension of MBS duration across all pre-Q1 2022 vintages, as prepayments cratered. Some 2022 on the run pools are seeing prepayment rates lower than what would typically be experienced due to home sales and “life events” as borrowers seek to hold onto the last vestiges of “free money” in the mortgage market for as long as possible. Home sales have dropped – still, however, largely due to supply issues – as new home affordability has become more challenging for borrowers.</w:t>
      </w:r>
    </w:p>
    <w:p w14:paraId="2EC551A5" w14:textId="77777777" w:rsidR="008F5D03" w:rsidRPr="00E6519B" w:rsidRDefault="0060532C" w:rsidP="0060532C">
      <w:pPr>
        <w:pStyle w:val="NormalWeb"/>
        <w:shd w:val="clear" w:color="auto" w:fill="FFFFFF"/>
        <w:spacing w:before="240" w:beforeAutospacing="0" w:after="240" w:afterAutospacing="0"/>
        <w:rPr>
          <w:rFonts w:ascii="Arial" w:hAnsi="Arial" w:cs="Arial"/>
          <w:b/>
          <w:bCs/>
        </w:rPr>
      </w:pPr>
      <w:r w:rsidRPr="00E6519B">
        <w:rPr>
          <w:rFonts w:ascii="Arial" w:hAnsi="Arial" w:cs="Arial"/>
          <w:b/>
          <w:bCs/>
        </w:rPr>
        <w:t xml:space="preserve">2022 MSR Performance </w:t>
      </w:r>
    </w:p>
    <w:p w14:paraId="2EC605FE" w14:textId="5D5F9CB1" w:rsidR="0065275C" w:rsidRDefault="0060532C" w:rsidP="0060532C">
      <w:pPr>
        <w:pStyle w:val="NormalWeb"/>
        <w:shd w:val="clear" w:color="auto" w:fill="FFFFFF"/>
        <w:spacing w:before="240" w:beforeAutospacing="0" w:after="240" w:afterAutospacing="0"/>
        <w:rPr>
          <w:sz w:val="22"/>
          <w:szCs w:val="22"/>
        </w:rPr>
      </w:pPr>
      <w:r w:rsidRPr="008F5D03">
        <w:rPr>
          <w:rFonts w:ascii="Arial" w:hAnsi="Arial" w:cs="Arial"/>
          <w:sz w:val="22"/>
          <w:szCs w:val="22"/>
        </w:rPr>
        <w:t xml:space="preserve">GIM’s initial purchase funded a pool of servicing rights from mostly 2020 vintage loans with a weighted average coupon (WAC) of 2.74%, one of the lowest WAC pools that traded in 2021. We anticipated slower prepayments than average, but as current coupons soared, prepayments fell to the lowest I’ve seen in my career, including September and October in which the number of payoffs was in the low single digits within a 4000-loan pool. The result was a massive extension in expected cash flows, and a resulting markup on the market value of the pool. While </w:t>
      </w:r>
      <w:r w:rsidRPr="008F5D03">
        <w:rPr>
          <w:rFonts w:ascii="Arial" w:hAnsi="Arial" w:cs="Arial"/>
          <w:sz w:val="22"/>
          <w:szCs w:val="22"/>
        </w:rPr>
        <w:lastRenderedPageBreak/>
        <w:t xml:space="preserve">we are still calculating final YE returns, performance for 2022 </w:t>
      </w:r>
      <w:r w:rsidR="00AA026B" w:rsidRPr="008F5D03">
        <w:rPr>
          <w:rFonts w:ascii="Arial" w:hAnsi="Arial" w:cs="Arial"/>
          <w:sz w:val="22"/>
          <w:szCs w:val="22"/>
        </w:rPr>
        <w:t>was</w:t>
      </w:r>
      <w:r w:rsidRPr="008F5D03">
        <w:rPr>
          <w:rFonts w:ascii="Arial" w:hAnsi="Arial" w:cs="Arial"/>
          <w:sz w:val="22"/>
          <w:szCs w:val="22"/>
        </w:rPr>
        <w:t xml:space="preserve"> driven both by greater than expected cash flow from slow prepayments, and more significantly, from an almost 30% increase in expected NPV of future cash flows due to the extension. Note significantly that we do not expect this performance to be repeated in 2023, but we also see no signs of giving back any of the valuation adjustments, as the low WAC of our pools remains nearly 400 bps in the money to borrowers, and home price appreciation in our core US Southeast and Midwest markets largely do not enable home “flipping” into newer, much higher coupon mortgages and house prices. We expect 2023 performance to be solidly in the 10-12% range, in line with our pricing of the original pool purchases in 2021 and 2022, but on a higher valuation basis due to the market “adjustment” which occurred in our favor in 2022.</w:t>
      </w:r>
    </w:p>
    <w:p w14:paraId="56E06D13" w14:textId="77777777" w:rsidR="0060532C" w:rsidRPr="00E6519B" w:rsidRDefault="0060532C" w:rsidP="0060532C">
      <w:pPr>
        <w:pStyle w:val="Default"/>
        <w:ind w:firstLine="720"/>
        <w:rPr>
          <w:rFonts w:ascii="Arial" w:hAnsi="Arial" w:cs="Arial"/>
          <w:b/>
          <w:bCs/>
        </w:rPr>
      </w:pPr>
      <w:r w:rsidRPr="00E6519B">
        <w:rPr>
          <w:rFonts w:ascii="Arial" w:hAnsi="Arial" w:cs="Arial"/>
          <w:b/>
          <w:bCs/>
        </w:rPr>
        <w:t xml:space="preserve">2023 Trends </w:t>
      </w:r>
    </w:p>
    <w:p w14:paraId="108E5CC2" w14:textId="1C76DC27" w:rsidR="0065275C" w:rsidRPr="008F5D03" w:rsidRDefault="0060532C" w:rsidP="0065275C">
      <w:pPr>
        <w:pStyle w:val="NormalWeb"/>
        <w:shd w:val="clear" w:color="auto" w:fill="FFFFFF"/>
        <w:spacing w:before="240" w:beforeAutospacing="0" w:after="240" w:afterAutospacing="0"/>
        <w:rPr>
          <w:rFonts w:ascii="Arial" w:hAnsi="Arial" w:cs="Arial"/>
          <w:sz w:val="22"/>
          <w:szCs w:val="22"/>
        </w:rPr>
      </w:pPr>
      <w:r w:rsidRPr="008F5D03">
        <w:rPr>
          <w:rFonts w:ascii="Arial" w:hAnsi="Arial" w:cs="Arial"/>
          <w:sz w:val="22"/>
          <w:szCs w:val="22"/>
        </w:rPr>
        <w:t xml:space="preserve">MSR valuations have largely been shocked, and market activity has been muted as a result. For those servicers who had purchased servicing on the pre-2022 low WAC origination vintages, valuations have been friendly, and it has alleviated pressure on non-bank servicers as the higher valuations allow for greater advance rates on leverage facilities. Grander’s acquisition model, however, </w:t>
      </w:r>
      <w:r w:rsidRPr="008F5D03">
        <w:rPr>
          <w:rFonts w:ascii="Arial" w:hAnsi="Arial" w:cs="Arial"/>
          <w:i/>
          <w:iCs/>
          <w:sz w:val="22"/>
          <w:szCs w:val="22"/>
        </w:rPr>
        <w:t xml:space="preserve">is focused on bank originators who acquire MSRs via retail loan origination in their branch and local footprints. </w:t>
      </w:r>
      <w:r w:rsidRPr="008F5D03">
        <w:rPr>
          <w:rFonts w:ascii="Arial" w:hAnsi="Arial" w:cs="Arial"/>
          <w:sz w:val="22"/>
          <w:szCs w:val="22"/>
        </w:rPr>
        <w:t xml:space="preserve">Banks are preparing for potential recession conditions in 2023 and 2024 and for potential losses in core commercial real estate markets, where pandemic disruptions to office and retail portfolios continue to roil both valuations and forward project activity. These midsize and smaller banks see the increase in </w:t>
      </w:r>
      <w:proofErr w:type="gramStart"/>
      <w:r w:rsidRPr="008F5D03">
        <w:rPr>
          <w:rFonts w:ascii="Arial" w:hAnsi="Arial" w:cs="Arial"/>
          <w:sz w:val="22"/>
          <w:szCs w:val="22"/>
        </w:rPr>
        <w:t>the value</w:t>
      </w:r>
      <w:proofErr w:type="gramEnd"/>
      <w:r w:rsidRPr="008F5D03">
        <w:rPr>
          <w:rFonts w:ascii="Arial" w:hAnsi="Arial" w:cs="Arial"/>
          <w:sz w:val="22"/>
          <w:szCs w:val="22"/>
        </w:rPr>
        <w:t xml:space="preserve"> in their MSR portfolios as a double-edged sword: while obviously being attractive economically, by growing in value they require more Tier I capital to support the asset. Thus, selling the MSR to a friendly buyer who </w:t>
      </w:r>
      <w:r w:rsidRPr="008F5D03">
        <w:rPr>
          <w:rFonts w:ascii="Arial" w:hAnsi="Arial" w:cs="Arial"/>
          <w:i/>
          <w:iCs/>
          <w:sz w:val="22"/>
          <w:szCs w:val="22"/>
        </w:rPr>
        <w:t xml:space="preserve">does not </w:t>
      </w:r>
      <w:r w:rsidRPr="008F5D03">
        <w:rPr>
          <w:rFonts w:ascii="Arial" w:hAnsi="Arial" w:cs="Arial"/>
          <w:sz w:val="22"/>
          <w:szCs w:val="22"/>
        </w:rPr>
        <w:t>want to acquire the customer or compete in other bank products becomes a particularly attractive capital source to these banks, and in our conversations, we see this dynamic playing out actively in 2023.</w:t>
      </w:r>
    </w:p>
    <w:p w14:paraId="47677CFB" w14:textId="77777777" w:rsidR="0060532C" w:rsidRDefault="0060532C" w:rsidP="0065275C">
      <w:pPr>
        <w:pStyle w:val="NormalWeb"/>
        <w:shd w:val="clear" w:color="auto" w:fill="FFFFFF"/>
        <w:spacing w:before="240" w:beforeAutospacing="0" w:after="240" w:afterAutospacing="0"/>
        <w:rPr>
          <w:sz w:val="22"/>
          <w:szCs w:val="22"/>
        </w:rPr>
      </w:pPr>
    </w:p>
    <w:p w14:paraId="77B64DDF" w14:textId="5E46A580" w:rsidR="0060532C" w:rsidRPr="00E6519B" w:rsidRDefault="0060532C" w:rsidP="0065275C">
      <w:pPr>
        <w:pStyle w:val="NormalWeb"/>
        <w:shd w:val="clear" w:color="auto" w:fill="FFFFFF"/>
        <w:spacing w:before="240" w:beforeAutospacing="0" w:after="240" w:afterAutospacing="0"/>
        <w:rPr>
          <w:rFonts w:ascii="Arial" w:hAnsi="Arial" w:cs="Arial"/>
          <w:b/>
          <w:bCs/>
        </w:rPr>
      </w:pPr>
      <w:r w:rsidRPr="00E6519B">
        <w:rPr>
          <w:rFonts w:ascii="Arial" w:hAnsi="Arial" w:cs="Arial"/>
          <w:b/>
          <w:bCs/>
        </w:rPr>
        <w:t xml:space="preserve">Portfolio Stratification as of 3/31/23 </w:t>
      </w:r>
    </w:p>
    <w:p w14:paraId="693F4E50" w14:textId="208FA450" w:rsidR="0060532C" w:rsidRDefault="0060532C" w:rsidP="0065275C">
      <w:pPr>
        <w:pStyle w:val="NormalWeb"/>
        <w:shd w:val="clear" w:color="auto" w:fill="FFFFFF"/>
        <w:spacing w:before="240" w:beforeAutospacing="0" w:after="240" w:afterAutospacing="0"/>
        <w:rPr>
          <w:rFonts w:ascii="Arial" w:hAnsi="Arial" w:cs="Arial"/>
          <w:color w:val="484B4E"/>
          <w:sz w:val="22"/>
          <w:szCs w:val="22"/>
        </w:rPr>
      </w:pPr>
      <w:r w:rsidRPr="0060532C">
        <w:rPr>
          <w:rFonts w:ascii="Arial" w:hAnsi="Arial" w:cs="Arial"/>
          <w:noProof/>
          <w:color w:val="484B4E"/>
          <w:sz w:val="22"/>
          <w:szCs w:val="22"/>
        </w:rPr>
        <w:drawing>
          <wp:inline distT="0" distB="0" distL="0" distR="0" wp14:anchorId="419F4BBB" wp14:editId="54B8CFC4">
            <wp:extent cx="6412205" cy="2813050"/>
            <wp:effectExtent l="0" t="0" r="8255" b="6350"/>
            <wp:docPr id="38937498" name="Picture 1"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7498" name="Picture 1" descr="A screenshot of a computer screen&#10;&#10;Description automatically generated with low confidence"/>
                    <pic:cNvPicPr/>
                  </pic:nvPicPr>
                  <pic:blipFill>
                    <a:blip r:embed="rId13"/>
                    <a:stretch>
                      <a:fillRect/>
                    </a:stretch>
                  </pic:blipFill>
                  <pic:spPr>
                    <a:xfrm>
                      <a:off x="0" y="0"/>
                      <a:ext cx="6430387" cy="2821026"/>
                    </a:xfrm>
                    <a:prstGeom prst="rect">
                      <a:avLst/>
                    </a:prstGeom>
                  </pic:spPr>
                </pic:pic>
              </a:graphicData>
            </a:graphic>
          </wp:inline>
        </w:drawing>
      </w:r>
    </w:p>
    <w:p w14:paraId="6AAA2B2C" w14:textId="77777777" w:rsidR="0065275C" w:rsidRDefault="0065275C" w:rsidP="0065275C">
      <w:pPr>
        <w:pStyle w:val="NormalWeb"/>
        <w:shd w:val="clear" w:color="auto" w:fill="FFFFFF"/>
        <w:spacing w:before="240" w:beforeAutospacing="0" w:after="240" w:afterAutospacing="0"/>
        <w:rPr>
          <w:rFonts w:ascii="Arial" w:hAnsi="Arial" w:cs="Arial"/>
          <w:color w:val="484B4E"/>
          <w:sz w:val="22"/>
          <w:szCs w:val="22"/>
        </w:rPr>
      </w:pPr>
    </w:p>
    <w:p w14:paraId="28048E6D" w14:textId="77777777" w:rsidR="008F5D03" w:rsidRDefault="008F5D03" w:rsidP="0065275C">
      <w:pPr>
        <w:pStyle w:val="NormalWeb"/>
        <w:shd w:val="clear" w:color="auto" w:fill="FFFFFF"/>
        <w:spacing w:before="240" w:beforeAutospacing="0" w:after="240" w:afterAutospacing="0"/>
        <w:rPr>
          <w:rFonts w:ascii="Arial" w:hAnsi="Arial" w:cs="Arial"/>
          <w:color w:val="484B4E"/>
          <w:sz w:val="22"/>
          <w:szCs w:val="22"/>
        </w:rPr>
      </w:pPr>
    </w:p>
    <w:p w14:paraId="7EA62A35" w14:textId="77777777" w:rsidR="008F5D03" w:rsidRDefault="008F5D03" w:rsidP="0065275C">
      <w:pPr>
        <w:pStyle w:val="NormalWeb"/>
        <w:shd w:val="clear" w:color="auto" w:fill="FFFFFF"/>
        <w:spacing w:before="240" w:beforeAutospacing="0" w:after="240" w:afterAutospacing="0"/>
        <w:rPr>
          <w:rFonts w:ascii="Arial" w:hAnsi="Arial" w:cs="Arial"/>
          <w:color w:val="484B4E"/>
          <w:sz w:val="22"/>
          <w:szCs w:val="22"/>
        </w:rPr>
      </w:pPr>
    </w:p>
    <w:p w14:paraId="4726EFEF" w14:textId="242937BF" w:rsidR="0065275C" w:rsidRPr="00E6519B" w:rsidRDefault="0065275C" w:rsidP="0065275C">
      <w:pPr>
        <w:pStyle w:val="NormalWeb"/>
        <w:shd w:val="clear" w:color="auto" w:fill="FFFFFF"/>
        <w:spacing w:before="240" w:beforeAutospacing="0" w:after="240" w:afterAutospacing="0"/>
        <w:rPr>
          <w:rFonts w:ascii="Arial" w:hAnsi="Arial" w:cs="Arial"/>
          <w:b/>
          <w:bCs/>
          <w:color w:val="484B4E"/>
        </w:rPr>
      </w:pPr>
      <w:r w:rsidRPr="00E6519B">
        <w:rPr>
          <w:rFonts w:ascii="Arial" w:hAnsi="Arial" w:cs="Arial"/>
          <w:b/>
          <w:bCs/>
          <w:color w:val="484B4E"/>
        </w:rPr>
        <w:t>What are Mortgage Servicing Rights (MSR)?</w:t>
      </w:r>
    </w:p>
    <w:p w14:paraId="5A6F2076" w14:textId="56B70AD2" w:rsidR="0065275C" w:rsidRPr="0065275C" w:rsidRDefault="0065275C" w:rsidP="0065275C">
      <w:pPr>
        <w:pStyle w:val="NormalWeb"/>
        <w:shd w:val="clear" w:color="auto" w:fill="FFFFFF"/>
        <w:spacing w:before="240" w:beforeAutospacing="0" w:after="240" w:afterAutospacing="0"/>
        <w:rPr>
          <w:rFonts w:ascii="Arial" w:hAnsi="Arial" w:cs="Arial"/>
          <w:color w:val="484B4E"/>
          <w:sz w:val="22"/>
          <w:szCs w:val="22"/>
        </w:rPr>
      </w:pPr>
      <w:r w:rsidRPr="0065275C">
        <w:rPr>
          <w:rFonts w:ascii="Arial" w:hAnsi="Arial" w:cs="Arial"/>
          <w:color w:val="484B4E"/>
          <w:sz w:val="22"/>
          <w:szCs w:val="22"/>
        </w:rPr>
        <w:t>A mortgage servicing right is the right to service a loan on behalf of an investor and collect a servicing fee. Loan servicing consists of collecting and processing loan payments throughout the life of a loan. Servicing activities also include billing the borrower; collecting principal and interest payments as well as taxes and insurance payments; disbursing property taxes and insurance premiums; accounting for these activities at the loan and investor level; and forwarding funds to an investor in the secondary market. MSRs are a modified interest-only strip. The expected life of the loan is calculated based on its expected prepayment rate and is a key valuation variable.</w:t>
      </w:r>
    </w:p>
    <w:p w14:paraId="1ED22636" w14:textId="77777777" w:rsidR="008F5D03" w:rsidRPr="00E6519B" w:rsidRDefault="008F5D03" w:rsidP="008F5D03">
      <w:pPr>
        <w:pStyle w:val="NormalWeb"/>
        <w:shd w:val="clear" w:color="auto" w:fill="FFFFFF"/>
        <w:spacing w:before="240" w:beforeAutospacing="0" w:after="240" w:afterAutospacing="0"/>
        <w:rPr>
          <w:rFonts w:ascii="Arial" w:hAnsi="Arial" w:cs="Arial"/>
          <w:b/>
          <w:bCs/>
          <w:color w:val="484B4E"/>
        </w:rPr>
      </w:pPr>
      <w:r w:rsidRPr="00E6519B">
        <w:rPr>
          <w:rFonts w:ascii="Arial" w:hAnsi="Arial" w:cs="Arial"/>
          <w:b/>
          <w:bCs/>
          <w:color w:val="484B4E"/>
        </w:rPr>
        <w:t>About Grander</w:t>
      </w:r>
    </w:p>
    <w:p w14:paraId="7F10B869" w14:textId="5FF3E537" w:rsidR="008F5D03" w:rsidRDefault="0060532C" w:rsidP="008F5D03">
      <w:pPr>
        <w:pStyle w:val="NormalWeb"/>
        <w:shd w:val="clear" w:color="auto" w:fill="FFFFFF"/>
        <w:rPr>
          <w:rFonts w:ascii="Arial" w:hAnsi="Arial" w:cs="Arial"/>
          <w:color w:val="484B4E"/>
          <w:sz w:val="22"/>
          <w:szCs w:val="22"/>
        </w:rPr>
      </w:pPr>
      <w:r w:rsidRPr="0060532C">
        <w:rPr>
          <w:rFonts w:ascii="Arial" w:hAnsi="Arial" w:cs="Arial"/>
          <w:color w:val="484B4E"/>
          <w:sz w:val="22"/>
          <w:szCs w:val="22"/>
        </w:rPr>
        <w:t>Grander was founded in 2017 out of the collaboration of two forward thinking entrepreneurs, Robert Williams, and Curtis Whitaker. Combined they bring 60 years of banking and capital markets experience with the goal of delivering consecutive and compelling returns in Mortgage Servicing Rights (MSR) space.</w:t>
      </w:r>
      <w:r w:rsidR="008F5D03">
        <w:rPr>
          <w:rFonts w:ascii="Arial" w:hAnsi="Arial" w:cs="Arial"/>
          <w:color w:val="484B4E"/>
          <w:sz w:val="22"/>
          <w:szCs w:val="22"/>
        </w:rPr>
        <w:t xml:space="preserve"> </w:t>
      </w:r>
      <w:r w:rsidRPr="0060532C">
        <w:rPr>
          <w:rFonts w:ascii="Arial" w:hAnsi="Arial" w:cs="Arial"/>
          <w:color w:val="484B4E"/>
          <w:sz w:val="22"/>
          <w:szCs w:val="22"/>
        </w:rPr>
        <w:t xml:space="preserve">Grander’s investment strategy </w:t>
      </w:r>
      <w:proofErr w:type="gramStart"/>
      <w:r w:rsidRPr="0060532C">
        <w:rPr>
          <w:rFonts w:ascii="Arial" w:hAnsi="Arial" w:cs="Arial"/>
          <w:color w:val="484B4E"/>
          <w:sz w:val="22"/>
          <w:szCs w:val="22"/>
        </w:rPr>
        <w:t>are</w:t>
      </w:r>
      <w:proofErr w:type="gramEnd"/>
      <w:r w:rsidRPr="0060532C">
        <w:rPr>
          <w:rFonts w:ascii="Arial" w:hAnsi="Arial" w:cs="Arial"/>
          <w:color w:val="484B4E"/>
          <w:sz w:val="22"/>
          <w:szCs w:val="22"/>
        </w:rPr>
        <w:t xml:space="preserve"> managed by dedicated and seasoned team focused on Mortgage Servicing Rights. Investment decisions are driven by our disciplined research and due diligence process. We pursue unique </w:t>
      </w:r>
      <w:proofErr w:type="gramStart"/>
      <w:r w:rsidRPr="0060532C">
        <w:rPr>
          <w:rFonts w:ascii="Arial" w:hAnsi="Arial" w:cs="Arial"/>
          <w:color w:val="484B4E"/>
          <w:sz w:val="22"/>
          <w:szCs w:val="22"/>
        </w:rPr>
        <w:t>sourcing</w:t>
      </w:r>
      <w:proofErr w:type="gramEnd"/>
      <w:r w:rsidRPr="0060532C">
        <w:rPr>
          <w:rFonts w:ascii="Arial" w:hAnsi="Arial" w:cs="Arial"/>
          <w:color w:val="484B4E"/>
          <w:sz w:val="22"/>
          <w:szCs w:val="22"/>
        </w:rPr>
        <w:t xml:space="preserve"> of MSR’s to deliver investment opportunities to our clients that are not readily available to the broader markets. Through our disciplined and comprehensive research process and risk management, we seek to generate compelling risk adjusted returns. Established as a master servicer, Grander has secured state and federal license authorization. Grander is licensed in all but </w:t>
      </w:r>
      <w:r w:rsidR="00B32FF7" w:rsidRPr="0060532C">
        <w:rPr>
          <w:rFonts w:ascii="Arial" w:hAnsi="Arial" w:cs="Arial"/>
          <w:color w:val="484B4E"/>
          <w:sz w:val="22"/>
          <w:szCs w:val="22"/>
        </w:rPr>
        <w:t>three</w:t>
      </w:r>
      <w:r w:rsidRPr="0060532C">
        <w:rPr>
          <w:rFonts w:ascii="Arial" w:hAnsi="Arial" w:cs="Arial"/>
          <w:color w:val="484B4E"/>
          <w:sz w:val="22"/>
          <w:szCs w:val="22"/>
        </w:rPr>
        <w:t xml:space="preserve"> states as a master servicer and is an “approved” seller servicer for Freddie Mac loans. In the process of obtaining approval as master servicer for Fannie Mae loans and eventually attaining Ginnie Mae approval.</w:t>
      </w:r>
    </w:p>
    <w:p w14:paraId="7DE9CE41" w14:textId="5B59613D" w:rsidR="007E7F36" w:rsidRPr="00AA24CB" w:rsidRDefault="00A62761" w:rsidP="007E7F36">
      <w:pPr>
        <w:pStyle w:val="Heading1"/>
        <w:rPr>
          <w:rFonts w:ascii="Arial" w:hAnsi="Arial" w:cs="Arial"/>
          <w:b w:val="0"/>
          <w:bCs w:val="0"/>
          <w:color w:val="auto"/>
          <w:sz w:val="18"/>
          <w:szCs w:val="10"/>
        </w:rPr>
      </w:pPr>
      <w:r w:rsidRPr="00AA24CB">
        <w:rPr>
          <w:rFonts w:ascii="Arial" w:hAnsi="Arial" w:cs="Arial"/>
          <w:b w:val="0"/>
          <w:bCs w:val="0"/>
          <w:color w:val="auto"/>
          <w:sz w:val="18"/>
          <w:szCs w:val="10"/>
        </w:rPr>
        <w:t>P</w:t>
      </w:r>
      <w:r w:rsidR="00DB7141" w:rsidRPr="00AA24CB">
        <w:rPr>
          <w:rFonts w:ascii="Arial" w:hAnsi="Arial" w:cs="Arial"/>
          <w:b w:val="0"/>
          <w:bCs w:val="0"/>
          <w:color w:val="auto"/>
          <w:sz w:val="18"/>
          <w:szCs w:val="10"/>
        </w:rPr>
        <w:t xml:space="preserve">lease contact your Grander representative </w:t>
      </w:r>
      <w:r w:rsidR="001462B6" w:rsidRPr="00AA24CB">
        <w:rPr>
          <w:rFonts w:ascii="Arial" w:hAnsi="Arial" w:cs="Arial"/>
          <w:b w:val="0"/>
          <w:bCs w:val="0"/>
          <w:color w:val="auto"/>
          <w:sz w:val="18"/>
          <w:szCs w:val="10"/>
        </w:rPr>
        <w:t xml:space="preserve">for additional information or to answer any questions.  </w:t>
      </w:r>
    </w:p>
    <w:sectPr w:rsidR="007E7F36" w:rsidRPr="00AA24CB" w:rsidSect="00A66B18">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0D8B4" w14:textId="77777777" w:rsidR="00DE3C98" w:rsidRDefault="00DE3C98" w:rsidP="00A66B18">
      <w:pPr>
        <w:spacing w:before="0" w:after="0"/>
      </w:pPr>
      <w:r>
        <w:separator/>
      </w:r>
    </w:p>
  </w:endnote>
  <w:endnote w:type="continuationSeparator" w:id="0">
    <w:p w14:paraId="46D2BEAA" w14:textId="77777777" w:rsidR="00DE3C98" w:rsidRDefault="00DE3C98"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4EB3" w14:textId="77777777" w:rsidR="0060532C" w:rsidRPr="0060532C" w:rsidRDefault="0060532C" w:rsidP="0060532C">
    <w:pPr>
      <w:autoSpaceDE w:val="0"/>
      <w:autoSpaceDN w:val="0"/>
      <w:adjustRightInd w:val="0"/>
      <w:spacing w:before="0" w:after="0"/>
      <w:ind w:left="0" w:right="0"/>
      <w:rPr>
        <w:rFonts w:ascii="Palatino Linotype" w:eastAsiaTheme="minorEastAsia" w:hAnsi="Palatino Linotype" w:cs="Palatino Linotype"/>
        <w:color w:val="000000"/>
        <w:kern w:val="0"/>
        <w:szCs w:val="24"/>
      </w:rPr>
    </w:pPr>
  </w:p>
  <w:p w14:paraId="3DB483E7" w14:textId="35AA2966" w:rsidR="0060532C" w:rsidRPr="0060532C" w:rsidRDefault="0060532C" w:rsidP="0060532C">
    <w:pPr>
      <w:pStyle w:val="Footer"/>
      <w:rPr>
        <w:rFonts w:ascii="Arial" w:hAnsi="Arial" w:cs="Arial"/>
        <w:i/>
      </w:rPr>
    </w:pPr>
    <w:r w:rsidRPr="0060532C">
      <w:rPr>
        <w:rFonts w:ascii="Arial" w:eastAsiaTheme="minorEastAsia" w:hAnsi="Arial" w:cs="Arial"/>
        <w:i/>
        <w:color w:val="000000"/>
        <w:kern w:val="0"/>
        <w:szCs w:val="24"/>
      </w:rPr>
      <w:t xml:space="preserve"> </w:t>
    </w:r>
    <w:r w:rsidRPr="0060532C">
      <w:rPr>
        <w:rFonts w:ascii="Arial" w:eastAsiaTheme="minorEastAsia" w:hAnsi="Arial" w:cstheme="minorHAnsi"/>
        <w:i/>
        <w:noProof/>
        <w:kern w:val="0"/>
        <w:sz w:val="18"/>
        <w:szCs w:val="18"/>
      </w:rPr>
      <w:t>If you are not the intended recipient, you are strictly prohibited from disclosing, copying, distributing or using any of this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671A" w14:textId="77777777" w:rsidR="00DE3C98" w:rsidRDefault="00DE3C98" w:rsidP="00A66B18">
      <w:pPr>
        <w:spacing w:before="0" w:after="0"/>
      </w:pPr>
      <w:r>
        <w:separator/>
      </w:r>
    </w:p>
  </w:footnote>
  <w:footnote w:type="continuationSeparator" w:id="0">
    <w:p w14:paraId="59094481" w14:textId="77777777" w:rsidR="00DE3C98" w:rsidRDefault="00DE3C98"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73216"/>
    <w:multiLevelType w:val="hybridMultilevel"/>
    <w:tmpl w:val="56767E28"/>
    <w:lvl w:ilvl="0" w:tplc="5016C1E6">
      <w:start w:val="1"/>
      <w:numFmt w:val="bullet"/>
      <w:lvlText w:val="•"/>
      <w:lvlJc w:val="left"/>
      <w:pPr>
        <w:tabs>
          <w:tab w:val="num" w:pos="720"/>
        </w:tabs>
        <w:ind w:left="720" w:hanging="360"/>
      </w:pPr>
      <w:rPr>
        <w:rFonts w:ascii="Arial" w:hAnsi="Arial" w:hint="default"/>
      </w:rPr>
    </w:lvl>
    <w:lvl w:ilvl="1" w:tplc="15805736" w:tentative="1">
      <w:start w:val="1"/>
      <w:numFmt w:val="bullet"/>
      <w:lvlText w:val="•"/>
      <w:lvlJc w:val="left"/>
      <w:pPr>
        <w:tabs>
          <w:tab w:val="num" w:pos="1440"/>
        </w:tabs>
        <w:ind w:left="1440" w:hanging="360"/>
      </w:pPr>
      <w:rPr>
        <w:rFonts w:ascii="Arial" w:hAnsi="Arial" w:hint="default"/>
      </w:rPr>
    </w:lvl>
    <w:lvl w:ilvl="2" w:tplc="2B3868FE" w:tentative="1">
      <w:start w:val="1"/>
      <w:numFmt w:val="bullet"/>
      <w:lvlText w:val="•"/>
      <w:lvlJc w:val="left"/>
      <w:pPr>
        <w:tabs>
          <w:tab w:val="num" w:pos="2160"/>
        </w:tabs>
        <w:ind w:left="2160" w:hanging="360"/>
      </w:pPr>
      <w:rPr>
        <w:rFonts w:ascii="Arial" w:hAnsi="Arial" w:hint="default"/>
      </w:rPr>
    </w:lvl>
    <w:lvl w:ilvl="3" w:tplc="479CA82E" w:tentative="1">
      <w:start w:val="1"/>
      <w:numFmt w:val="bullet"/>
      <w:lvlText w:val="•"/>
      <w:lvlJc w:val="left"/>
      <w:pPr>
        <w:tabs>
          <w:tab w:val="num" w:pos="2880"/>
        </w:tabs>
        <w:ind w:left="2880" w:hanging="360"/>
      </w:pPr>
      <w:rPr>
        <w:rFonts w:ascii="Arial" w:hAnsi="Arial" w:hint="default"/>
      </w:rPr>
    </w:lvl>
    <w:lvl w:ilvl="4" w:tplc="70782A46" w:tentative="1">
      <w:start w:val="1"/>
      <w:numFmt w:val="bullet"/>
      <w:lvlText w:val="•"/>
      <w:lvlJc w:val="left"/>
      <w:pPr>
        <w:tabs>
          <w:tab w:val="num" w:pos="3600"/>
        </w:tabs>
        <w:ind w:left="3600" w:hanging="360"/>
      </w:pPr>
      <w:rPr>
        <w:rFonts w:ascii="Arial" w:hAnsi="Arial" w:hint="default"/>
      </w:rPr>
    </w:lvl>
    <w:lvl w:ilvl="5" w:tplc="3F4E12D6" w:tentative="1">
      <w:start w:val="1"/>
      <w:numFmt w:val="bullet"/>
      <w:lvlText w:val="•"/>
      <w:lvlJc w:val="left"/>
      <w:pPr>
        <w:tabs>
          <w:tab w:val="num" w:pos="4320"/>
        </w:tabs>
        <w:ind w:left="4320" w:hanging="360"/>
      </w:pPr>
      <w:rPr>
        <w:rFonts w:ascii="Arial" w:hAnsi="Arial" w:hint="default"/>
      </w:rPr>
    </w:lvl>
    <w:lvl w:ilvl="6" w:tplc="F9303C90" w:tentative="1">
      <w:start w:val="1"/>
      <w:numFmt w:val="bullet"/>
      <w:lvlText w:val="•"/>
      <w:lvlJc w:val="left"/>
      <w:pPr>
        <w:tabs>
          <w:tab w:val="num" w:pos="5040"/>
        </w:tabs>
        <w:ind w:left="5040" w:hanging="360"/>
      </w:pPr>
      <w:rPr>
        <w:rFonts w:ascii="Arial" w:hAnsi="Arial" w:hint="default"/>
      </w:rPr>
    </w:lvl>
    <w:lvl w:ilvl="7" w:tplc="F3A474FC" w:tentative="1">
      <w:start w:val="1"/>
      <w:numFmt w:val="bullet"/>
      <w:lvlText w:val="•"/>
      <w:lvlJc w:val="left"/>
      <w:pPr>
        <w:tabs>
          <w:tab w:val="num" w:pos="5760"/>
        </w:tabs>
        <w:ind w:left="5760" w:hanging="360"/>
      </w:pPr>
      <w:rPr>
        <w:rFonts w:ascii="Arial" w:hAnsi="Arial" w:hint="default"/>
      </w:rPr>
    </w:lvl>
    <w:lvl w:ilvl="8" w:tplc="482C2D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D887729"/>
    <w:multiLevelType w:val="hybridMultilevel"/>
    <w:tmpl w:val="53C06ABC"/>
    <w:lvl w:ilvl="0" w:tplc="0BCE2E4A">
      <w:start w:val="1"/>
      <w:numFmt w:val="bullet"/>
      <w:lvlText w:val="•"/>
      <w:lvlJc w:val="left"/>
      <w:pPr>
        <w:tabs>
          <w:tab w:val="num" w:pos="720"/>
        </w:tabs>
        <w:ind w:left="720" w:hanging="360"/>
      </w:pPr>
      <w:rPr>
        <w:rFonts w:ascii="Arial" w:hAnsi="Arial" w:hint="default"/>
      </w:rPr>
    </w:lvl>
    <w:lvl w:ilvl="1" w:tplc="1438139A" w:tentative="1">
      <w:start w:val="1"/>
      <w:numFmt w:val="bullet"/>
      <w:lvlText w:val="•"/>
      <w:lvlJc w:val="left"/>
      <w:pPr>
        <w:tabs>
          <w:tab w:val="num" w:pos="1440"/>
        </w:tabs>
        <w:ind w:left="1440" w:hanging="360"/>
      </w:pPr>
      <w:rPr>
        <w:rFonts w:ascii="Arial" w:hAnsi="Arial" w:hint="default"/>
      </w:rPr>
    </w:lvl>
    <w:lvl w:ilvl="2" w:tplc="6A4E9A80" w:tentative="1">
      <w:start w:val="1"/>
      <w:numFmt w:val="bullet"/>
      <w:lvlText w:val="•"/>
      <w:lvlJc w:val="left"/>
      <w:pPr>
        <w:tabs>
          <w:tab w:val="num" w:pos="2160"/>
        </w:tabs>
        <w:ind w:left="2160" w:hanging="360"/>
      </w:pPr>
      <w:rPr>
        <w:rFonts w:ascii="Arial" w:hAnsi="Arial" w:hint="default"/>
      </w:rPr>
    </w:lvl>
    <w:lvl w:ilvl="3" w:tplc="B9B6FA80" w:tentative="1">
      <w:start w:val="1"/>
      <w:numFmt w:val="bullet"/>
      <w:lvlText w:val="•"/>
      <w:lvlJc w:val="left"/>
      <w:pPr>
        <w:tabs>
          <w:tab w:val="num" w:pos="2880"/>
        </w:tabs>
        <w:ind w:left="2880" w:hanging="360"/>
      </w:pPr>
      <w:rPr>
        <w:rFonts w:ascii="Arial" w:hAnsi="Arial" w:hint="default"/>
      </w:rPr>
    </w:lvl>
    <w:lvl w:ilvl="4" w:tplc="9F24A524" w:tentative="1">
      <w:start w:val="1"/>
      <w:numFmt w:val="bullet"/>
      <w:lvlText w:val="•"/>
      <w:lvlJc w:val="left"/>
      <w:pPr>
        <w:tabs>
          <w:tab w:val="num" w:pos="3600"/>
        </w:tabs>
        <w:ind w:left="3600" w:hanging="360"/>
      </w:pPr>
      <w:rPr>
        <w:rFonts w:ascii="Arial" w:hAnsi="Arial" w:hint="default"/>
      </w:rPr>
    </w:lvl>
    <w:lvl w:ilvl="5" w:tplc="06D45A16" w:tentative="1">
      <w:start w:val="1"/>
      <w:numFmt w:val="bullet"/>
      <w:lvlText w:val="•"/>
      <w:lvlJc w:val="left"/>
      <w:pPr>
        <w:tabs>
          <w:tab w:val="num" w:pos="4320"/>
        </w:tabs>
        <w:ind w:left="4320" w:hanging="360"/>
      </w:pPr>
      <w:rPr>
        <w:rFonts w:ascii="Arial" w:hAnsi="Arial" w:hint="default"/>
      </w:rPr>
    </w:lvl>
    <w:lvl w:ilvl="6" w:tplc="6C8A4AC4" w:tentative="1">
      <w:start w:val="1"/>
      <w:numFmt w:val="bullet"/>
      <w:lvlText w:val="•"/>
      <w:lvlJc w:val="left"/>
      <w:pPr>
        <w:tabs>
          <w:tab w:val="num" w:pos="5040"/>
        </w:tabs>
        <w:ind w:left="5040" w:hanging="360"/>
      </w:pPr>
      <w:rPr>
        <w:rFonts w:ascii="Arial" w:hAnsi="Arial" w:hint="default"/>
      </w:rPr>
    </w:lvl>
    <w:lvl w:ilvl="7" w:tplc="AE2448E8" w:tentative="1">
      <w:start w:val="1"/>
      <w:numFmt w:val="bullet"/>
      <w:lvlText w:val="•"/>
      <w:lvlJc w:val="left"/>
      <w:pPr>
        <w:tabs>
          <w:tab w:val="num" w:pos="5760"/>
        </w:tabs>
        <w:ind w:left="5760" w:hanging="360"/>
      </w:pPr>
      <w:rPr>
        <w:rFonts w:ascii="Arial" w:hAnsi="Arial" w:hint="default"/>
      </w:rPr>
    </w:lvl>
    <w:lvl w:ilvl="8" w:tplc="84D676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17271DA"/>
    <w:multiLevelType w:val="hybridMultilevel"/>
    <w:tmpl w:val="220220CE"/>
    <w:lvl w:ilvl="0" w:tplc="E2CEB106">
      <w:start w:val="1"/>
      <w:numFmt w:val="bullet"/>
      <w:lvlText w:val="•"/>
      <w:lvlJc w:val="left"/>
      <w:pPr>
        <w:tabs>
          <w:tab w:val="num" w:pos="720"/>
        </w:tabs>
        <w:ind w:left="720" w:hanging="360"/>
      </w:pPr>
      <w:rPr>
        <w:rFonts w:ascii="Arial" w:hAnsi="Arial" w:hint="default"/>
      </w:rPr>
    </w:lvl>
    <w:lvl w:ilvl="1" w:tplc="B574ADBE" w:tentative="1">
      <w:start w:val="1"/>
      <w:numFmt w:val="bullet"/>
      <w:lvlText w:val="•"/>
      <w:lvlJc w:val="left"/>
      <w:pPr>
        <w:tabs>
          <w:tab w:val="num" w:pos="1440"/>
        </w:tabs>
        <w:ind w:left="1440" w:hanging="360"/>
      </w:pPr>
      <w:rPr>
        <w:rFonts w:ascii="Arial" w:hAnsi="Arial" w:hint="default"/>
      </w:rPr>
    </w:lvl>
    <w:lvl w:ilvl="2" w:tplc="FBC685B4" w:tentative="1">
      <w:start w:val="1"/>
      <w:numFmt w:val="bullet"/>
      <w:lvlText w:val="•"/>
      <w:lvlJc w:val="left"/>
      <w:pPr>
        <w:tabs>
          <w:tab w:val="num" w:pos="2160"/>
        </w:tabs>
        <w:ind w:left="2160" w:hanging="360"/>
      </w:pPr>
      <w:rPr>
        <w:rFonts w:ascii="Arial" w:hAnsi="Arial" w:hint="default"/>
      </w:rPr>
    </w:lvl>
    <w:lvl w:ilvl="3" w:tplc="D34EF5E0" w:tentative="1">
      <w:start w:val="1"/>
      <w:numFmt w:val="bullet"/>
      <w:lvlText w:val="•"/>
      <w:lvlJc w:val="left"/>
      <w:pPr>
        <w:tabs>
          <w:tab w:val="num" w:pos="2880"/>
        </w:tabs>
        <w:ind w:left="2880" w:hanging="360"/>
      </w:pPr>
      <w:rPr>
        <w:rFonts w:ascii="Arial" w:hAnsi="Arial" w:hint="default"/>
      </w:rPr>
    </w:lvl>
    <w:lvl w:ilvl="4" w:tplc="258A7E94" w:tentative="1">
      <w:start w:val="1"/>
      <w:numFmt w:val="bullet"/>
      <w:lvlText w:val="•"/>
      <w:lvlJc w:val="left"/>
      <w:pPr>
        <w:tabs>
          <w:tab w:val="num" w:pos="3600"/>
        </w:tabs>
        <w:ind w:left="3600" w:hanging="360"/>
      </w:pPr>
      <w:rPr>
        <w:rFonts w:ascii="Arial" w:hAnsi="Arial" w:hint="default"/>
      </w:rPr>
    </w:lvl>
    <w:lvl w:ilvl="5" w:tplc="6D222B26" w:tentative="1">
      <w:start w:val="1"/>
      <w:numFmt w:val="bullet"/>
      <w:lvlText w:val="•"/>
      <w:lvlJc w:val="left"/>
      <w:pPr>
        <w:tabs>
          <w:tab w:val="num" w:pos="4320"/>
        </w:tabs>
        <w:ind w:left="4320" w:hanging="360"/>
      </w:pPr>
      <w:rPr>
        <w:rFonts w:ascii="Arial" w:hAnsi="Arial" w:hint="default"/>
      </w:rPr>
    </w:lvl>
    <w:lvl w:ilvl="6" w:tplc="B86803C4" w:tentative="1">
      <w:start w:val="1"/>
      <w:numFmt w:val="bullet"/>
      <w:lvlText w:val="•"/>
      <w:lvlJc w:val="left"/>
      <w:pPr>
        <w:tabs>
          <w:tab w:val="num" w:pos="5040"/>
        </w:tabs>
        <w:ind w:left="5040" w:hanging="360"/>
      </w:pPr>
      <w:rPr>
        <w:rFonts w:ascii="Arial" w:hAnsi="Arial" w:hint="default"/>
      </w:rPr>
    </w:lvl>
    <w:lvl w:ilvl="7" w:tplc="E00CDA00" w:tentative="1">
      <w:start w:val="1"/>
      <w:numFmt w:val="bullet"/>
      <w:lvlText w:val="•"/>
      <w:lvlJc w:val="left"/>
      <w:pPr>
        <w:tabs>
          <w:tab w:val="num" w:pos="5760"/>
        </w:tabs>
        <w:ind w:left="5760" w:hanging="360"/>
      </w:pPr>
      <w:rPr>
        <w:rFonts w:ascii="Arial" w:hAnsi="Arial" w:hint="default"/>
      </w:rPr>
    </w:lvl>
    <w:lvl w:ilvl="8" w:tplc="DD9A0E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5A04A46"/>
    <w:multiLevelType w:val="hybridMultilevel"/>
    <w:tmpl w:val="47C6DEF2"/>
    <w:lvl w:ilvl="0" w:tplc="6818F55A">
      <w:start w:val="1"/>
      <w:numFmt w:val="bullet"/>
      <w:lvlText w:val="•"/>
      <w:lvlJc w:val="left"/>
      <w:pPr>
        <w:tabs>
          <w:tab w:val="num" w:pos="720"/>
        </w:tabs>
        <w:ind w:left="720" w:hanging="360"/>
      </w:pPr>
      <w:rPr>
        <w:rFonts w:ascii="Arial" w:hAnsi="Arial" w:hint="default"/>
      </w:rPr>
    </w:lvl>
    <w:lvl w:ilvl="1" w:tplc="1026CA78" w:tentative="1">
      <w:start w:val="1"/>
      <w:numFmt w:val="bullet"/>
      <w:lvlText w:val="•"/>
      <w:lvlJc w:val="left"/>
      <w:pPr>
        <w:tabs>
          <w:tab w:val="num" w:pos="1440"/>
        </w:tabs>
        <w:ind w:left="1440" w:hanging="360"/>
      </w:pPr>
      <w:rPr>
        <w:rFonts w:ascii="Arial" w:hAnsi="Arial" w:hint="default"/>
      </w:rPr>
    </w:lvl>
    <w:lvl w:ilvl="2" w:tplc="E682C842" w:tentative="1">
      <w:start w:val="1"/>
      <w:numFmt w:val="bullet"/>
      <w:lvlText w:val="•"/>
      <w:lvlJc w:val="left"/>
      <w:pPr>
        <w:tabs>
          <w:tab w:val="num" w:pos="2160"/>
        </w:tabs>
        <w:ind w:left="2160" w:hanging="360"/>
      </w:pPr>
      <w:rPr>
        <w:rFonts w:ascii="Arial" w:hAnsi="Arial" w:hint="default"/>
      </w:rPr>
    </w:lvl>
    <w:lvl w:ilvl="3" w:tplc="3D5EC750" w:tentative="1">
      <w:start w:val="1"/>
      <w:numFmt w:val="bullet"/>
      <w:lvlText w:val="•"/>
      <w:lvlJc w:val="left"/>
      <w:pPr>
        <w:tabs>
          <w:tab w:val="num" w:pos="2880"/>
        </w:tabs>
        <w:ind w:left="2880" w:hanging="360"/>
      </w:pPr>
      <w:rPr>
        <w:rFonts w:ascii="Arial" w:hAnsi="Arial" w:hint="default"/>
      </w:rPr>
    </w:lvl>
    <w:lvl w:ilvl="4" w:tplc="D15EC05C" w:tentative="1">
      <w:start w:val="1"/>
      <w:numFmt w:val="bullet"/>
      <w:lvlText w:val="•"/>
      <w:lvlJc w:val="left"/>
      <w:pPr>
        <w:tabs>
          <w:tab w:val="num" w:pos="3600"/>
        </w:tabs>
        <w:ind w:left="3600" w:hanging="360"/>
      </w:pPr>
      <w:rPr>
        <w:rFonts w:ascii="Arial" w:hAnsi="Arial" w:hint="default"/>
      </w:rPr>
    </w:lvl>
    <w:lvl w:ilvl="5" w:tplc="43BAB1C6" w:tentative="1">
      <w:start w:val="1"/>
      <w:numFmt w:val="bullet"/>
      <w:lvlText w:val="•"/>
      <w:lvlJc w:val="left"/>
      <w:pPr>
        <w:tabs>
          <w:tab w:val="num" w:pos="4320"/>
        </w:tabs>
        <w:ind w:left="4320" w:hanging="360"/>
      </w:pPr>
      <w:rPr>
        <w:rFonts w:ascii="Arial" w:hAnsi="Arial" w:hint="default"/>
      </w:rPr>
    </w:lvl>
    <w:lvl w:ilvl="6" w:tplc="A34C191E" w:tentative="1">
      <w:start w:val="1"/>
      <w:numFmt w:val="bullet"/>
      <w:lvlText w:val="•"/>
      <w:lvlJc w:val="left"/>
      <w:pPr>
        <w:tabs>
          <w:tab w:val="num" w:pos="5040"/>
        </w:tabs>
        <w:ind w:left="5040" w:hanging="360"/>
      </w:pPr>
      <w:rPr>
        <w:rFonts w:ascii="Arial" w:hAnsi="Arial" w:hint="default"/>
      </w:rPr>
    </w:lvl>
    <w:lvl w:ilvl="7" w:tplc="DB00518C" w:tentative="1">
      <w:start w:val="1"/>
      <w:numFmt w:val="bullet"/>
      <w:lvlText w:val="•"/>
      <w:lvlJc w:val="left"/>
      <w:pPr>
        <w:tabs>
          <w:tab w:val="num" w:pos="5760"/>
        </w:tabs>
        <w:ind w:left="5760" w:hanging="360"/>
      </w:pPr>
      <w:rPr>
        <w:rFonts w:ascii="Arial" w:hAnsi="Arial" w:hint="default"/>
      </w:rPr>
    </w:lvl>
    <w:lvl w:ilvl="8" w:tplc="E5E2C3F0" w:tentative="1">
      <w:start w:val="1"/>
      <w:numFmt w:val="bullet"/>
      <w:lvlText w:val="•"/>
      <w:lvlJc w:val="left"/>
      <w:pPr>
        <w:tabs>
          <w:tab w:val="num" w:pos="6480"/>
        </w:tabs>
        <w:ind w:left="6480" w:hanging="360"/>
      </w:pPr>
      <w:rPr>
        <w:rFonts w:ascii="Arial" w:hAnsi="Arial" w:hint="default"/>
      </w:rPr>
    </w:lvl>
  </w:abstractNum>
  <w:num w:numId="1" w16cid:durableId="1177227360">
    <w:abstractNumId w:val="3"/>
  </w:num>
  <w:num w:numId="2" w16cid:durableId="926883122">
    <w:abstractNumId w:val="0"/>
  </w:num>
  <w:num w:numId="3" w16cid:durableId="1438329458">
    <w:abstractNumId w:val="1"/>
  </w:num>
  <w:num w:numId="4" w16cid:durableId="1674408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91"/>
    <w:rsid w:val="00083BAA"/>
    <w:rsid w:val="000E7EEF"/>
    <w:rsid w:val="0010680C"/>
    <w:rsid w:val="001462B6"/>
    <w:rsid w:val="001766D6"/>
    <w:rsid w:val="0019340B"/>
    <w:rsid w:val="001E2320"/>
    <w:rsid w:val="001F006F"/>
    <w:rsid w:val="00214E28"/>
    <w:rsid w:val="00352B81"/>
    <w:rsid w:val="0038557A"/>
    <w:rsid w:val="003A0150"/>
    <w:rsid w:val="003E24DF"/>
    <w:rsid w:val="003F30B2"/>
    <w:rsid w:val="00413042"/>
    <w:rsid w:val="0041428F"/>
    <w:rsid w:val="004A2B0D"/>
    <w:rsid w:val="005C2210"/>
    <w:rsid w:val="005D7940"/>
    <w:rsid w:val="0060532C"/>
    <w:rsid w:val="00615018"/>
    <w:rsid w:val="0062123A"/>
    <w:rsid w:val="00646E75"/>
    <w:rsid w:val="0065275C"/>
    <w:rsid w:val="006F6F10"/>
    <w:rsid w:val="0073656C"/>
    <w:rsid w:val="007677B7"/>
    <w:rsid w:val="00783E79"/>
    <w:rsid w:val="007B5AE8"/>
    <w:rsid w:val="007D6A91"/>
    <w:rsid w:val="007E7F36"/>
    <w:rsid w:val="007F5192"/>
    <w:rsid w:val="008F5D03"/>
    <w:rsid w:val="00910D6C"/>
    <w:rsid w:val="009D6E13"/>
    <w:rsid w:val="009F5E59"/>
    <w:rsid w:val="00A14DE5"/>
    <w:rsid w:val="00A62761"/>
    <w:rsid w:val="00A66B18"/>
    <w:rsid w:val="00A6783B"/>
    <w:rsid w:val="00A96CF8"/>
    <w:rsid w:val="00AA026B"/>
    <w:rsid w:val="00AA24CB"/>
    <w:rsid w:val="00AE1388"/>
    <w:rsid w:val="00AF3982"/>
    <w:rsid w:val="00B237EB"/>
    <w:rsid w:val="00B32FF7"/>
    <w:rsid w:val="00B46697"/>
    <w:rsid w:val="00B50294"/>
    <w:rsid w:val="00B57D6E"/>
    <w:rsid w:val="00C701F7"/>
    <w:rsid w:val="00C70786"/>
    <w:rsid w:val="00D41084"/>
    <w:rsid w:val="00D66593"/>
    <w:rsid w:val="00DB7141"/>
    <w:rsid w:val="00DE3C98"/>
    <w:rsid w:val="00DE4B49"/>
    <w:rsid w:val="00DE6DA2"/>
    <w:rsid w:val="00DF2D30"/>
    <w:rsid w:val="00E21240"/>
    <w:rsid w:val="00E24D24"/>
    <w:rsid w:val="00E55D74"/>
    <w:rsid w:val="00E6519B"/>
    <w:rsid w:val="00E6540C"/>
    <w:rsid w:val="00E81E2A"/>
    <w:rsid w:val="00EE0952"/>
    <w:rsid w:val="00F675E5"/>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90183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rsid w:val="003E24DF"/>
    <w:pPr>
      <w:spacing w:after="0"/>
      <w:jc w:val="right"/>
    </w:pPr>
  </w:style>
  <w:style w:type="character" w:customStyle="1" w:styleId="HeaderChar">
    <w:name w:val="Header Char"/>
    <w:basedOn w:val="DefaultParagraphFont"/>
    <w:link w:val="Header"/>
    <w:uiPriority w:val="99"/>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customStyle="1" w:styleId="Default">
    <w:name w:val="Default"/>
    <w:rsid w:val="0060532C"/>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60532C"/>
    <w:pPr>
      <w:spacing w:before="0" w:after="0"/>
      <w:ind w:right="0"/>
      <w:contextualSpacing/>
    </w:pPr>
    <w:rPr>
      <w:rFonts w:ascii="Times New Roman" w:eastAsia="Times New Roman" w:hAnsi="Times New Roman" w:cs="Times New Roman"/>
      <w:kern w:val="0"/>
      <w:szCs w:val="24"/>
      <w:lang w:eastAsia="en-US"/>
    </w:rPr>
  </w:style>
  <w:style w:type="paragraph" w:styleId="Revision">
    <w:name w:val="Revision"/>
    <w:hidden/>
    <w:uiPriority w:val="99"/>
    <w:semiHidden/>
    <w:rsid w:val="00B237EB"/>
    <w:rPr>
      <w:rFonts w:eastAsiaTheme="minorHAnsi"/>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32150">
      <w:bodyDiv w:val="1"/>
      <w:marLeft w:val="0"/>
      <w:marRight w:val="0"/>
      <w:marTop w:val="0"/>
      <w:marBottom w:val="0"/>
      <w:divBdr>
        <w:top w:val="none" w:sz="0" w:space="0" w:color="auto"/>
        <w:left w:val="none" w:sz="0" w:space="0" w:color="auto"/>
        <w:bottom w:val="none" w:sz="0" w:space="0" w:color="auto"/>
        <w:right w:val="none" w:sz="0" w:space="0" w:color="auto"/>
      </w:divBdr>
      <w:divsChild>
        <w:div w:id="1261331800">
          <w:marLeft w:val="547"/>
          <w:marRight w:val="0"/>
          <w:marTop w:val="0"/>
          <w:marBottom w:val="0"/>
          <w:divBdr>
            <w:top w:val="none" w:sz="0" w:space="0" w:color="auto"/>
            <w:left w:val="none" w:sz="0" w:space="0" w:color="auto"/>
            <w:bottom w:val="none" w:sz="0" w:space="0" w:color="auto"/>
            <w:right w:val="none" w:sz="0" w:space="0" w:color="auto"/>
          </w:divBdr>
        </w:div>
      </w:divsChild>
    </w:div>
    <w:div w:id="461964027">
      <w:bodyDiv w:val="1"/>
      <w:marLeft w:val="0"/>
      <w:marRight w:val="0"/>
      <w:marTop w:val="0"/>
      <w:marBottom w:val="0"/>
      <w:divBdr>
        <w:top w:val="none" w:sz="0" w:space="0" w:color="auto"/>
        <w:left w:val="none" w:sz="0" w:space="0" w:color="auto"/>
        <w:bottom w:val="none" w:sz="0" w:space="0" w:color="auto"/>
        <w:right w:val="none" w:sz="0" w:space="0" w:color="auto"/>
      </w:divBdr>
      <w:divsChild>
        <w:div w:id="1821268031">
          <w:marLeft w:val="547"/>
          <w:marRight w:val="0"/>
          <w:marTop w:val="0"/>
          <w:marBottom w:val="0"/>
          <w:divBdr>
            <w:top w:val="none" w:sz="0" w:space="0" w:color="auto"/>
            <w:left w:val="none" w:sz="0" w:space="0" w:color="auto"/>
            <w:bottom w:val="none" w:sz="0" w:space="0" w:color="auto"/>
            <w:right w:val="none" w:sz="0" w:space="0" w:color="auto"/>
          </w:divBdr>
        </w:div>
      </w:divsChild>
    </w:div>
    <w:div w:id="1222445804">
      <w:bodyDiv w:val="1"/>
      <w:marLeft w:val="0"/>
      <w:marRight w:val="0"/>
      <w:marTop w:val="0"/>
      <w:marBottom w:val="0"/>
      <w:divBdr>
        <w:top w:val="none" w:sz="0" w:space="0" w:color="auto"/>
        <w:left w:val="none" w:sz="0" w:space="0" w:color="auto"/>
        <w:bottom w:val="none" w:sz="0" w:space="0" w:color="auto"/>
        <w:right w:val="none" w:sz="0" w:space="0" w:color="auto"/>
      </w:divBdr>
      <w:divsChild>
        <w:div w:id="50227823">
          <w:marLeft w:val="547"/>
          <w:marRight w:val="0"/>
          <w:marTop w:val="0"/>
          <w:marBottom w:val="0"/>
          <w:divBdr>
            <w:top w:val="none" w:sz="0" w:space="0" w:color="auto"/>
            <w:left w:val="none" w:sz="0" w:space="0" w:color="auto"/>
            <w:bottom w:val="none" w:sz="0" w:space="0" w:color="auto"/>
            <w:right w:val="none" w:sz="0" w:space="0" w:color="auto"/>
          </w:divBdr>
        </w:div>
      </w:divsChild>
    </w:div>
    <w:div w:id="1582984973">
      <w:bodyDiv w:val="1"/>
      <w:marLeft w:val="0"/>
      <w:marRight w:val="0"/>
      <w:marTop w:val="0"/>
      <w:marBottom w:val="0"/>
      <w:divBdr>
        <w:top w:val="none" w:sz="0" w:space="0" w:color="auto"/>
        <w:left w:val="none" w:sz="0" w:space="0" w:color="auto"/>
        <w:bottom w:val="none" w:sz="0" w:space="0" w:color="auto"/>
        <w:right w:val="none" w:sz="0" w:space="0" w:color="auto"/>
      </w:divBdr>
      <w:divsChild>
        <w:div w:id="19539773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9539.453EFA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Kim\AppData\Local\Microsoft\Office\16.0\DTS\en-US%7bC109DA35-C6A8-4378-8CE4-8617AA419673%7d\%7bF1C76512-5565-4500-8008-A6F051FCCF2E%7dtf55871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0616221F-4E30-43DF-A3F1-757BC7DC278B}">
  <ds:schemaRefs>
    <ds:schemaRef ds:uri="http://schemas.microsoft.com/sharepoint/v3/contenttype/forms"/>
  </ds:schemaRefs>
</ds:datastoreItem>
</file>

<file path=customXml/itemProps2.xml><?xml version="1.0" encoding="utf-8"?>
<ds:datastoreItem xmlns:ds="http://schemas.openxmlformats.org/officeDocument/2006/customXml" ds:itemID="{98A423AF-50F4-4F0F-8C0A-54276ACA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9A928-2554-414C-BAD1-FEB172D0A0CF}">
  <ds:schemaRefs>
    <ds:schemaRef ds:uri="http://schemas.openxmlformats.org/officeDocument/2006/bibliography"/>
  </ds:schemaRefs>
</ds:datastoreItem>
</file>

<file path=customXml/itemProps4.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{F1C76512-5565-4500-8008-A6F051FCCF2E}tf55871247_win32</Template>
  <TotalTime>0</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2024-11-08T14:06:00Z</dcterms:created>
  <dcterms:modified xsi:type="dcterms:W3CDTF">2024-11-08T14:06:00Z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